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D9" w:rsidRDefault="00AA3BA8" w:rsidP="00DD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17ED9" w:rsidRDefault="00117ED9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117ED9" w:rsidRDefault="00117ED9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117ED9" w:rsidRDefault="00117ED9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DD7A74" w:rsidRPr="00DD7A74" w:rsidRDefault="00DD7A74" w:rsidP="00DD7A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DD7A74" w:rsidRPr="00DD7A74" w:rsidRDefault="00DD7A74" w:rsidP="00DD7A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DD7A74" w:rsidRPr="00DD7A74" w:rsidRDefault="00DD7A74" w:rsidP="00DD7A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74" w:rsidRPr="00DD7A74" w:rsidRDefault="00DD7A74" w:rsidP="00DD7A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D7A74" w:rsidRPr="00DD7A74" w:rsidRDefault="00DD7A74" w:rsidP="00DD7A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A74" w:rsidRPr="00DD7A74" w:rsidRDefault="00DD7A74" w:rsidP="00DD7A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74" w:rsidRPr="00DD7A74" w:rsidRDefault="00DD7A74" w:rsidP="00DD7A7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7A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117ED9" w:rsidRDefault="00117ED9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117ED9" w:rsidRDefault="00117ED9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ED9" w:rsidRDefault="00117ED9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4A0013" w:rsidRDefault="004A0013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4A0013" w:rsidRDefault="004A0013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117ED9" w:rsidRDefault="004A0013" w:rsidP="00427A9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7ED9">
        <w:rPr>
          <w:rFonts w:ascii="Times New Roman" w:hAnsi="Times New Roman" w:cs="Times New Roman"/>
          <w:sz w:val="28"/>
          <w:szCs w:val="28"/>
        </w:rPr>
        <w:t xml:space="preserve">04.12.2017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7ED9">
        <w:rPr>
          <w:rFonts w:ascii="Times New Roman" w:hAnsi="Times New Roman" w:cs="Times New Roman"/>
          <w:sz w:val="28"/>
          <w:szCs w:val="28"/>
        </w:rPr>
        <w:t xml:space="preserve"> 316-па</w:t>
      </w:r>
    </w:p>
    <w:p w:rsidR="00117ED9" w:rsidRDefault="00117ED9" w:rsidP="004A001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709" w:right="2835"/>
        <w:jc w:val="both"/>
        <w:rPr>
          <w:rFonts w:ascii="Times New Roman" w:hAnsi="Times New Roman" w:cs="Times New Roman"/>
          <w:sz w:val="28"/>
          <w:szCs w:val="28"/>
        </w:rPr>
      </w:pPr>
    </w:p>
    <w:p w:rsidR="00FD5D4C" w:rsidRPr="00FD5D4C" w:rsidRDefault="00FD5D4C" w:rsidP="004A001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-709" w:righ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:rsidR="00FD5D4C" w:rsidRPr="00FD5D4C" w:rsidRDefault="00FD5D4C" w:rsidP="004A00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D4C" w:rsidRDefault="00FD5D4C" w:rsidP="004A0013">
      <w:pPr>
        <w:pStyle w:val="aa"/>
        <w:ind w:left="-709" w:firstLine="851"/>
        <w:jc w:val="both"/>
        <w:rPr>
          <w:b w:val="0"/>
          <w:bCs/>
          <w:kern w:val="28"/>
          <w:szCs w:val="28"/>
        </w:rPr>
      </w:pPr>
      <w:r w:rsidRPr="00427A9E">
        <w:rPr>
          <w:b w:val="0"/>
          <w:szCs w:val="28"/>
        </w:rPr>
        <w:t>В соответствии с</w:t>
      </w:r>
      <w:r w:rsidR="00C5561E">
        <w:rPr>
          <w:b w:val="0"/>
          <w:szCs w:val="28"/>
        </w:rPr>
        <w:t>о</w:t>
      </w:r>
      <w:r w:rsidRPr="00427A9E">
        <w:rPr>
          <w:b w:val="0"/>
          <w:szCs w:val="28"/>
        </w:rPr>
        <w:t xml:space="preserve"> </w:t>
      </w:r>
      <w:r w:rsidR="00C5561E" w:rsidRPr="00427A9E">
        <w:rPr>
          <w:b w:val="0"/>
          <w:szCs w:val="28"/>
        </w:rPr>
        <w:t>ст. 179 Бюджетного Кодекса Российской Федерации</w:t>
      </w:r>
      <w:r w:rsidR="00C5561E">
        <w:rPr>
          <w:b w:val="0"/>
          <w:szCs w:val="28"/>
        </w:rPr>
        <w:t>,</w:t>
      </w:r>
      <w:r w:rsidR="00C5561E" w:rsidRPr="00427A9E">
        <w:rPr>
          <w:b w:val="0"/>
          <w:szCs w:val="28"/>
        </w:rPr>
        <w:t xml:space="preserve"> </w:t>
      </w:r>
      <w:r w:rsidRPr="00427A9E">
        <w:rPr>
          <w:b w:val="0"/>
          <w:szCs w:val="28"/>
        </w:rPr>
        <w:t>Федеральн</w:t>
      </w:r>
      <w:r w:rsidR="00C5561E">
        <w:rPr>
          <w:b w:val="0"/>
          <w:szCs w:val="28"/>
        </w:rPr>
        <w:t>ым</w:t>
      </w:r>
      <w:r w:rsidRPr="00427A9E">
        <w:rPr>
          <w:b w:val="0"/>
          <w:szCs w:val="28"/>
        </w:rPr>
        <w:t xml:space="preserve"> закон</w:t>
      </w:r>
      <w:r w:rsidR="00C5561E">
        <w:rPr>
          <w:b w:val="0"/>
          <w:szCs w:val="28"/>
        </w:rPr>
        <w:t>ом</w:t>
      </w:r>
      <w:r w:rsidRPr="00427A9E">
        <w:rPr>
          <w:b w:val="0"/>
          <w:szCs w:val="28"/>
        </w:rPr>
        <w:t xml:space="preserve"> от 06.10.2003 года № 131-ФЗ «Об общих принципах организации местного самоуп</w:t>
      </w:r>
      <w:r w:rsidR="00C5561E">
        <w:rPr>
          <w:b w:val="0"/>
          <w:szCs w:val="28"/>
        </w:rPr>
        <w:t>равления в Российской Федерации»</w:t>
      </w:r>
      <w:r w:rsidRPr="00427A9E">
        <w:rPr>
          <w:b w:val="0"/>
          <w:szCs w:val="28"/>
        </w:rPr>
        <w:t>,</w:t>
      </w:r>
      <w:r w:rsidR="00427A9E" w:rsidRPr="00427A9E">
        <w:rPr>
          <w:b w:val="0"/>
          <w:bCs/>
          <w:kern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4A0013" w:rsidRPr="004A0013" w:rsidRDefault="004A0013" w:rsidP="004A0013">
      <w:pPr>
        <w:pStyle w:val="aa"/>
        <w:ind w:left="-709" w:firstLine="851"/>
        <w:jc w:val="both"/>
        <w:rPr>
          <w:b w:val="0"/>
          <w:bCs/>
          <w:kern w:val="28"/>
          <w:szCs w:val="28"/>
        </w:rPr>
      </w:pPr>
    </w:p>
    <w:p w:rsidR="00FD5D4C" w:rsidRDefault="00FD5D4C" w:rsidP="004A00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013" w:rsidRPr="004A0013" w:rsidRDefault="004A0013" w:rsidP="004A0013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Default="00D07928" w:rsidP="004A0013">
      <w:pPr>
        <w:spacing w:after="0" w:line="240" w:lineRule="auto"/>
        <w:ind w:left="-709" w:right="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D5D4C" w:rsidRPr="00FD5D4C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</w:t>
      </w:r>
      <w:r w:rsidR="00AA3BA8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Никольского городского поселения Тосненского района Ленинградской области </w:t>
      </w:r>
      <w:r w:rsidR="0050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="00AA3BA8"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 w:rsidR="0043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A4B" w:rsidRPr="00432A4B" w:rsidRDefault="00432A4B" w:rsidP="004A0013">
      <w:pPr>
        <w:spacing w:after="0" w:line="240" w:lineRule="auto"/>
        <w:ind w:left="-709" w:right="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2A4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редакции согласно приложению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43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7A9E" w:rsidRPr="00117ED9" w:rsidRDefault="00183B98" w:rsidP="004A001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 силу</w:t>
      </w:r>
      <w:r w:rsidRPr="0018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06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78D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8D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378D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78DE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9378DE" w:rsidRPr="009378D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11.11.2015 № 423-па 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A9E" w:rsidRDefault="00183B98" w:rsidP="004A0013">
      <w:pPr>
        <w:spacing w:after="0" w:line="240" w:lineRule="auto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A9E" w:rsidRPr="0042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подписания и подлежит размещению 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 w:rsidR="005068C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4A0013" w:rsidRDefault="004A0013" w:rsidP="004A0013">
      <w:pPr>
        <w:spacing w:after="0" w:line="240" w:lineRule="auto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A0013">
      <w:pPr>
        <w:spacing w:after="0" w:line="240" w:lineRule="auto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A0013">
      <w:pPr>
        <w:spacing w:after="0" w:line="240" w:lineRule="auto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A0013">
      <w:pPr>
        <w:spacing w:after="0" w:line="240" w:lineRule="auto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A0013">
      <w:pPr>
        <w:spacing w:after="0" w:line="240" w:lineRule="auto"/>
        <w:ind w:left="-709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Pr="00427A9E" w:rsidRDefault="004A0013" w:rsidP="004A0013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C4" w:rsidRPr="005068C4" w:rsidRDefault="005068C4" w:rsidP="004A0013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27A9E" w:rsidRPr="00427A9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068C4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68C4">
        <w:rPr>
          <w:rFonts w:ascii="Times New Roman" w:eastAsia="Calibri" w:hAnsi="Times New Roman" w:cs="Times New Roman"/>
          <w:sz w:val="28"/>
          <w:szCs w:val="28"/>
        </w:rPr>
        <w:t>дминистрации  Бабошина А.В.</w:t>
      </w:r>
    </w:p>
    <w:p w:rsidR="00427A9E" w:rsidRPr="00427A9E" w:rsidRDefault="00427A9E" w:rsidP="00427A9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A9E" w:rsidRPr="00427A9E" w:rsidRDefault="00427A9E" w:rsidP="00427A9E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A9E" w:rsidRPr="00427A9E" w:rsidRDefault="00427A9E" w:rsidP="00427A9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A9E" w:rsidRPr="00427A9E" w:rsidRDefault="00427A9E" w:rsidP="00427A9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7A9E" w:rsidRPr="00427A9E" w:rsidRDefault="00427A9E" w:rsidP="00427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A9E" w:rsidRPr="00427A9E" w:rsidRDefault="00427A9E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9E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С.А.Шикалов</w:t>
      </w:r>
    </w:p>
    <w:p w:rsidR="00427A9E" w:rsidRPr="00427A9E" w:rsidRDefault="00427A9E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A9E" w:rsidRDefault="00427A9E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013" w:rsidRPr="00427A9E" w:rsidRDefault="004A0013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A9E" w:rsidRPr="00117ED9" w:rsidRDefault="00427A9E" w:rsidP="00427A9E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ED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427A9E" w:rsidRPr="00117ED9" w:rsidRDefault="00427A9E" w:rsidP="00427A9E">
      <w:pPr>
        <w:tabs>
          <w:tab w:val="left" w:pos="142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7ED9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Варушкин А.А.</w:t>
      </w:r>
    </w:p>
    <w:p w:rsidR="00913586" w:rsidRPr="00117ED9" w:rsidRDefault="00913586" w:rsidP="00427A9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32A4B" w:rsidRPr="00117ED9" w:rsidRDefault="00432A4B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013" w:rsidRDefault="004A0013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013" w:rsidRDefault="004A0013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FD5D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A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04.12.2017 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013">
        <w:rPr>
          <w:rFonts w:ascii="Times New Roman" w:eastAsia="Times New Roman" w:hAnsi="Times New Roman" w:cs="Times New Roman"/>
          <w:sz w:val="28"/>
          <w:szCs w:val="28"/>
          <w:lang w:eastAsia="ru-RU"/>
        </w:rPr>
        <w:t>316-па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Pr="00FD5D4C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0013" w:rsidRDefault="004A0013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0013" w:rsidRDefault="004A0013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0013" w:rsidRPr="00FD5D4C" w:rsidRDefault="004A0013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DA250E" w:rsidP="00DA250E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FD5D4C"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5D4C" w:rsidRPr="00FD5D4C" w:rsidRDefault="00D07928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D5D4C"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4A0013">
          <w:footerReference w:type="even" r:id="rId8"/>
          <w:pgSz w:w="11906" w:h="16838" w:code="9"/>
          <w:pgMar w:top="568" w:right="566" w:bottom="0" w:left="1701" w:header="720" w:footer="720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78"/>
        <w:gridCol w:w="1559"/>
        <w:gridCol w:w="1418"/>
        <w:gridCol w:w="1559"/>
        <w:gridCol w:w="2126"/>
        <w:gridCol w:w="1837"/>
        <w:gridCol w:w="2132"/>
      </w:tblGrid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D4C" w:rsidRPr="00FD5D4C" w:rsidTr="006D5E23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B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FD5D4C" w:rsidRPr="00FD5D4C" w:rsidTr="006D5E23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«Обеспечение правопорядка и профилактики правонарушений».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профилактики правонарушений на территории Ленинградской области»</w:t>
            </w:r>
          </w:p>
        </w:tc>
      </w:tr>
      <w:tr w:rsidR="00FD5D4C" w:rsidRPr="00FD5D4C" w:rsidTr="006D5E23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D5D4C" w:rsidRPr="00FD5D4C" w:rsidTr="00E70C0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 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год реализации  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FD5D4C" w:rsidRPr="00FD5D4C" w:rsidRDefault="00FD5D4C" w:rsidP="0059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D5D4C" w:rsidRPr="00FD5D4C" w:rsidTr="00E70C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E70C04" w:rsidP="00D5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66,507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3B6B17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5D4C"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D51BD5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="00E7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1059,33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489,33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A276F0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499,33</w:t>
            </w:r>
          </w:p>
        </w:tc>
      </w:tr>
      <w:tr w:rsidR="00BB15E4" w:rsidRPr="00FD5D4C" w:rsidTr="00E70C04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Pr="00FD5D4C" w:rsidRDefault="00BB15E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Default="00BB15E4">
            <w:r w:rsidRPr="00BD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E4" w:rsidRDefault="00BB15E4">
            <w:r w:rsidRPr="00BD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E70C0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E70C0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D5D4C" w:rsidRPr="00FD5D4C" w:rsidTr="006D5E23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</w:tbl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FD5D4C" w:rsidRPr="00FD5D4C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поселения криминогенная обстановка остается сложной .Для 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прежнему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 (пожарных   гидрантов,   пожарных</w:t>
      </w: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361FD8">
          <w:pgSz w:w="11906" w:h="16838" w:code="9"/>
          <w:pgMar w:top="1134" w:right="1134" w:bottom="851" w:left="1701" w:header="720" w:footer="720" w:gutter="0"/>
          <w:cols w:space="708"/>
          <w:docGrid w:linePitch="360"/>
        </w:sect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992"/>
        <w:gridCol w:w="1038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FD5D4C" w:rsidRPr="00FD5D4C" w:rsidTr="00D51BD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FD5D4C" w:rsidRPr="00FD5D4C" w:rsidRDefault="00FD5D4C" w:rsidP="003B6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B6B1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FD5D4C" w:rsidRPr="00FD5D4C" w:rsidTr="00D51BD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567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E70C0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505,417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BB15E4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499,33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E70C04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3276,507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D5D4C" w:rsidRPr="00FD5D4C" w:rsidTr="00D51BD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D51BD5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856701" w:rsidRPr="00FD5D4C" w:rsidTr="00D51BD5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8567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760,10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D51BD5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505,417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BB15E4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499,33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01" w:rsidRPr="00FD5D4C" w:rsidRDefault="00D51BD5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3276,507</w:t>
            </w:r>
          </w:p>
        </w:tc>
      </w:tr>
      <w:tr w:rsidR="00FD5D4C" w:rsidRPr="00FD5D4C" w:rsidTr="00D51BD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 Паспорт подпрограммы 2.  </w:t>
      </w:r>
      <w:r w:rsidRPr="00FD5D4C">
        <w:rPr>
          <w:rFonts w:ascii="Times New Roman" w:eastAsia="Times New Roman" w:hAnsi="Times New Roman" w:cs="Times New Roman"/>
          <w:lang w:eastAsia="ru-RU"/>
        </w:rPr>
        <w:t>«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правопорядка и профилактики правонарушений</w:t>
      </w:r>
      <w:r w:rsidRPr="00FD5D4C">
        <w:rPr>
          <w:rFonts w:ascii="Times New Roman" w:eastAsia="Times New Roman" w:hAnsi="Times New Roman" w:cs="Times New Roman"/>
          <w:lang w:eastAsia="ru-RU"/>
        </w:rPr>
        <w:t>»</w:t>
      </w: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B14E6" w:rsidRDefault="006B14E6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276"/>
        <w:gridCol w:w="1276"/>
        <w:gridCol w:w="1275"/>
        <w:gridCol w:w="1134"/>
        <w:gridCol w:w="993"/>
        <w:gridCol w:w="1134"/>
        <w:gridCol w:w="896"/>
      </w:tblGrid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«Мероприятия по обеспечению общественного порядка и профилактике правонарушений на территории Ленинградской области».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городского поселения</w:t>
            </w:r>
          </w:p>
        </w:tc>
      </w:tr>
      <w:tr w:rsidR="00CD5A88" w:rsidRPr="00FD5D4C" w:rsidTr="006F0040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CD5A88" w:rsidRPr="00FD5D4C" w:rsidTr="006F0040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Третий год реализации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Пятый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Подпрограмма 2. «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D51BD5"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D5A88" w:rsidRPr="002A6F3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6270,00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2A6F3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D5A88" w:rsidRPr="002A6F3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CD5A88" w:rsidRPr="00FD5D4C" w:rsidTr="006F0040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5A88" w:rsidRPr="00FD5D4C" w:rsidTr="006F0040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2544F0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D5A88" w:rsidRPr="00FD5D4C" w:rsidTr="006F0040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D51BD5" w:rsidP="00D51BD5"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6B14E6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D51BD5" w:rsidP="006B14E6"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B14E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CD5A88" w:rsidRPr="001473F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CD5A88" w:rsidRPr="00FD5D4C" w:rsidTr="006F0040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Pr="00FD5D4C" w:rsidRDefault="00CD5A88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8" w:rsidRDefault="00CD5A88">
            <w:r w:rsidRPr="001473F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B14E6" w:rsidRPr="00FD5D4C" w:rsidTr="006F0040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E6" w:rsidRPr="00FD5D4C" w:rsidRDefault="006B14E6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E6" w:rsidRPr="00FD5D4C" w:rsidRDefault="006B14E6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правопорядка и профилактики правонарушений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</w:tbl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976"/>
        <w:gridCol w:w="1134"/>
        <w:gridCol w:w="992"/>
        <w:gridCol w:w="1134"/>
        <w:gridCol w:w="108"/>
        <w:gridCol w:w="884"/>
        <w:gridCol w:w="993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FD5D4C" w:rsidRPr="00FD5D4C" w:rsidTr="006D5E2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Первый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реализации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Третий год реализации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Четвертый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Пятый год реализации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D5D4C" w:rsidRPr="00FD5D4C" w:rsidTr="006D5E2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3 Тех.обследование и ремонт пожарных гидрантов,</w:t>
            </w:r>
            <w:r w:rsidR="00DA25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 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rPr>
          <w:trHeight w:val="984"/>
          <w:tblCellSpacing w:w="5" w:type="nil"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профилактика правонарушений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обеспечения общественного порядка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5%</w:t>
            </w:r>
          </w:p>
        </w:tc>
      </w:tr>
      <w:tr w:rsidR="00FD5D4C" w:rsidRPr="00FD5D4C" w:rsidTr="006D5E23">
        <w:trPr>
          <w:trHeight w:val="7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  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совершенных правонарушений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60" w:type="dxa"/>
          <w:wAfter w:w="1877" w:type="dxa"/>
          <w:trHeight w:val="315"/>
        </w:trPr>
        <w:tc>
          <w:tcPr>
            <w:tcW w:w="13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3"/>
        <w:gridCol w:w="1848"/>
        <w:gridCol w:w="1823"/>
        <w:gridCol w:w="1382"/>
        <w:gridCol w:w="1130"/>
        <w:gridCol w:w="1011"/>
        <w:gridCol w:w="37"/>
        <w:gridCol w:w="974"/>
        <w:gridCol w:w="1011"/>
        <w:gridCol w:w="1042"/>
        <w:gridCol w:w="1111"/>
        <w:gridCol w:w="31"/>
        <w:gridCol w:w="37"/>
        <w:gridCol w:w="1279"/>
        <w:gridCol w:w="1136"/>
        <w:gridCol w:w="1263"/>
      </w:tblGrid>
      <w:tr w:rsidR="00FD5D4C" w:rsidRPr="00FD5D4C" w:rsidTr="009E5488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(тыс.руб.)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5D4C" w:rsidRPr="00FD5D4C" w:rsidTr="008365C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9E54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9E5488">
        <w:trPr>
          <w:trHeight w:val="300"/>
        </w:trPr>
        <w:tc>
          <w:tcPr>
            <w:tcW w:w="459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E5488" w:rsidRPr="00FD5D4C" w:rsidTr="00DB7EEA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8816B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E5488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488" w:rsidRPr="00FD5D4C" w:rsidRDefault="009E5488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E70C04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6F004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E70C04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Приобрет. пособий по противодействию терроризму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5,59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6F0040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5,59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040" w:rsidRDefault="006F0040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5488" w:rsidRPr="00FD5D4C" w:rsidTr="008365C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488" w:rsidRPr="00FD5D4C" w:rsidRDefault="009E5488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88" w:rsidRPr="00FD5D4C" w:rsidRDefault="009E5488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Дератизационная обработка 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105,70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89,22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EA" w:rsidRPr="00FD5D4C" w:rsidRDefault="009378DE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  <w:r w:rsidR="00DB7EEA"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4.1.Дератизационная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60,70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12,18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9378DE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31,887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DB7EEA" w:rsidRPr="00FD5D4C" w:rsidTr="009E5488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4.2.Обработка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0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Опашка территории поселения, прилегающей к лесам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DB7EEA" w:rsidRPr="00FD5D4C" w:rsidRDefault="00DB7EEA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082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20,00  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120,00  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0,00  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0,00  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468,60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E70C04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236,23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DB7EEA" w:rsidRPr="00FD5D4C" w:rsidTr="001870EE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Проверка тех.состояния ПГ</w:t>
            </w:r>
          </w:p>
          <w:p w:rsidR="008365C5" w:rsidRPr="00453BCA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9378DE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88,75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453BCA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1870EE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8365C5" w:rsidRPr="00FD5D4C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9378DE" w:rsidP="0093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117,48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DB7EEA" w:rsidRPr="00FD5D4C" w:rsidTr="00594FB1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8365C5" w:rsidRPr="00FD5D4C" w:rsidRDefault="008365C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DB7EEA" w:rsidRPr="00FD5D4C" w:rsidTr="009E5488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наглядной агитации для обучение населения</w:t>
            </w:r>
          </w:p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DB7EEA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 w:rsidR="006F00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23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на тушение пожаров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1657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 w:rsidR="00C81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813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27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Контрольно-финансовые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финансов, экономики, бухучета и отчетности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расходования бюджетных средств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r w:rsidR="00C816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DB7EEA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6B14E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B14E6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3150F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E70C04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505,417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499,33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Default="008365C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365C5" w:rsidRPr="00FD5D4C" w:rsidRDefault="008365C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355"/>
        </w:trPr>
        <w:tc>
          <w:tcPr>
            <w:tcW w:w="381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C5" w:rsidRDefault="008365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правопорядка и профилактики правонарушений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АПК АИС «Безопасный город»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9378DE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DB7EEA"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безопасности жизни и здоровья населения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1.1.Проектирование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9378D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 Создание АПК АИС «Безопасный город»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570</w:t>
            </w:r>
            <w:r w:rsidR="00DB7EEA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DB7EEA" w:rsidRPr="00FD5D4C" w:rsidTr="009E5488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  <w:r w:rsidR="00DB7E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  <w:r w:rsidR="00DB7EEA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465"/>
        </w:trPr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9378D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DB7EEA"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85670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6270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7EEA" w:rsidRPr="00FD5D4C" w:rsidTr="009E5488">
        <w:trPr>
          <w:trHeight w:val="363"/>
        </w:trPr>
        <w:tc>
          <w:tcPr>
            <w:tcW w:w="1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E70C04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605,417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8365C5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9E5488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5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760,1</w:t>
            </w:r>
            <w:r w:rsidR="0085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E70C04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605,417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6F0040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1059,33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EEA" w:rsidRPr="008365C5" w:rsidRDefault="006F004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499,33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7EEA" w:rsidRPr="00FD5D4C" w:rsidTr="008365C5">
        <w:trPr>
          <w:trHeight w:val="540"/>
        </w:trPr>
        <w:tc>
          <w:tcPr>
            <w:tcW w:w="1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594FB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5700</w:t>
            </w:r>
            <w:r w:rsidR="00DB7E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EEA" w:rsidRPr="00FD5D4C" w:rsidRDefault="008365C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EEA" w:rsidRPr="00FD5D4C" w:rsidRDefault="00DB7EEA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B4" w:rsidRDefault="007645B4" w:rsidP="006D5E23">
      <w:pPr>
        <w:spacing w:after="0" w:line="240" w:lineRule="auto"/>
      </w:pPr>
      <w:r>
        <w:separator/>
      </w:r>
    </w:p>
  </w:endnote>
  <w:endnote w:type="continuationSeparator" w:id="0">
    <w:p w:rsidR="007645B4" w:rsidRDefault="007645B4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013" w:rsidRDefault="004A0013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013" w:rsidRDefault="004A00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B4" w:rsidRDefault="007645B4" w:rsidP="006D5E23">
      <w:pPr>
        <w:spacing w:after="0" w:line="240" w:lineRule="auto"/>
      </w:pPr>
      <w:r>
        <w:separator/>
      </w:r>
    </w:p>
  </w:footnote>
  <w:footnote w:type="continuationSeparator" w:id="0">
    <w:p w:rsidR="007645B4" w:rsidRDefault="007645B4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 w15:restartNumberingAfterBreak="0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 w15:restartNumberingAfterBreak="0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 w15:restartNumberingAfterBreak="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2"/>
    <w:rsid w:val="000C3DEC"/>
    <w:rsid w:val="000C7C9F"/>
    <w:rsid w:val="00117ED9"/>
    <w:rsid w:val="00183B98"/>
    <w:rsid w:val="001870EE"/>
    <w:rsid w:val="001A4057"/>
    <w:rsid w:val="00200A51"/>
    <w:rsid w:val="002544F0"/>
    <w:rsid w:val="003150FA"/>
    <w:rsid w:val="00361FD8"/>
    <w:rsid w:val="003B6B17"/>
    <w:rsid w:val="00427A9E"/>
    <w:rsid w:val="00432A4B"/>
    <w:rsid w:val="00453BCA"/>
    <w:rsid w:val="004A0013"/>
    <w:rsid w:val="004F22DC"/>
    <w:rsid w:val="005068C4"/>
    <w:rsid w:val="00544A85"/>
    <w:rsid w:val="00594646"/>
    <w:rsid w:val="00594FB1"/>
    <w:rsid w:val="005D504C"/>
    <w:rsid w:val="006B14E6"/>
    <w:rsid w:val="006D5E23"/>
    <w:rsid w:val="006F0040"/>
    <w:rsid w:val="007645B4"/>
    <w:rsid w:val="00770D2A"/>
    <w:rsid w:val="008365C5"/>
    <w:rsid w:val="00856701"/>
    <w:rsid w:val="008816BE"/>
    <w:rsid w:val="008945CD"/>
    <w:rsid w:val="008B1B42"/>
    <w:rsid w:val="008F0972"/>
    <w:rsid w:val="0090303B"/>
    <w:rsid w:val="00913586"/>
    <w:rsid w:val="009378DE"/>
    <w:rsid w:val="009819DA"/>
    <w:rsid w:val="009E0FB3"/>
    <w:rsid w:val="009E5488"/>
    <w:rsid w:val="00A276F0"/>
    <w:rsid w:val="00A5704F"/>
    <w:rsid w:val="00A7216D"/>
    <w:rsid w:val="00A809C0"/>
    <w:rsid w:val="00AA3BA8"/>
    <w:rsid w:val="00B23486"/>
    <w:rsid w:val="00B45176"/>
    <w:rsid w:val="00B61958"/>
    <w:rsid w:val="00B90BBF"/>
    <w:rsid w:val="00BB15E4"/>
    <w:rsid w:val="00C50920"/>
    <w:rsid w:val="00C5561E"/>
    <w:rsid w:val="00C81657"/>
    <w:rsid w:val="00CD5A88"/>
    <w:rsid w:val="00D07928"/>
    <w:rsid w:val="00D51BD5"/>
    <w:rsid w:val="00D92E85"/>
    <w:rsid w:val="00DA250E"/>
    <w:rsid w:val="00DB7EEA"/>
    <w:rsid w:val="00DD7A74"/>
    <w:rsid w:val="00E05151"/>
    <w:rsid w:val="00E55F4F"/>
    <w:rsid w:val="00E70C04"/>
    <w:rsid w:val="00EA013B"/>
    <w:rsid w:val="00F61A48"/>
    <w:rsid w:val="00FD5D4C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C9472"/>
  <w15:docId w15:val="{281B4C52-E188-4224-B104-4C63E9B6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A1E2-80F4-4A59-BC8A-4AE252F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2017-12-12T05:59:00Z</cp:lastPrinted>
  <dcterms:created xsi:type="dcterms:W3CDTF">2017-12-25T07:28:00Z</dcterms:created>
  <dcterms:modified xsi:type="dcterms:W3CDTF">2017-12-25T07:28:00Z</dcterms:modified>
</cp:coreProperties>
</file>