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5D" w:rsidRDefault="00D4585D" w:rsidP="00D4585D">
      <w:pPr>
        <w:jc w:val="both"/>
        <w:rPr>
          <w:sz w:val="28"/>
          <w:szCs w:val="28"/>
        </w:rPr>
      </w:pPr>
      <w:bookmarkStart w:id="0" w:name="_GoBack"/>
      <w:bookmarkEnd w:id="0"/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D4585D" w:rsidRDefault="002118D0" w:rsidP="00D4585D">
      <w:pPr>
        <w:ind w:left="10915"/>
        <w:jc w:val="both"/>
        <w:rPr>
          <w:sz w:val="28"/>
          <w:szCs w:val="28"/>
        </w:rPr>
      </w:pPr>
      <w:r>
        <w:rPr>
          <w:sz w:val="24"/>
        </w:rPr>
        <w:t>от 05</w:t>
      </w:r>
      <w:r w:rsidR="00D4585D">
        <w:rPr>
          <w:sz w:val="24"/>
        </w:rPr>
        <w:t xml:space="preserve">.03.2019   №  </w:t>
      </w:r>
      <w:r w:rsidR="00D03850">
        <w:rPr>
          <w:sz w:val="24"/>
        </w:rPr>
        <w:t>101</w:t>
      </w:r>
      <w:r w:rsidR="00D4585D">
        <w:rPr>
          <w:sz w:val="24"/>
        </w:rPr>
        <w:t>-па</w:t>
      </w: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D4585D" w:rsidRDefault="00D4585D" w:rsidP="00D4585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2F6C7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192531,830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26703,102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21073,700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2017г. на 2,2 %, в 2018 г. на 2,3%; в 2019г.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2,4%; в 2020г. на 2,5%;в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детей, привлекаемых к участию в творческих мероприятиях в 2017г. на 7,3 %, в 2018г. на 7,4 </w:t>
            </w:r>
            <w:r>
              <w:rPr>
                <w:sz w:val="22"/>
                <w:szCs w:val="22"/>
                <w:lang w:eastAsia="en-US"/>
              </w:rPr>
              <w:lastRenderedPageBreak/>
              <w:t>%, в 2019г. на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2017 г. на 2,3%, в 2018г. на 2,5 %; в 2019г. на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на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год.-918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фойе.,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2017г. на 2,2%, в 2018г.на 2,3 %, в 2019г.на 2,4%, в 2020г.на 2,5%; в 2021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детей, привлекаемых к участию в творческих мероприятиях в 2017г. на 7,3 %, в 2018г. на 7,4 %, в 2019г.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7,5%, в 2020г. на 7,6%,в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в 2017 г. на 2,3%, в 2018г. на 2,4 %, в 2019г.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2,5%, в 2020г. на 2,6%,в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2017 г. на 2 %, в 2018 г. на 2,5 %, в 2019 г. на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D458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Общая характеристика, основные проблемы </w:t>
      </w: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634D1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27854,302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2F6C7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187703,476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4657,500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20696,900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2F6C78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F6C78">
              <w:rPr>
                <w:color w:val="000000"/>
                <w:sz w:val="18"/>
                <w:szCs w:val="18"/>
                <w:lang w:eastAsia="en-US"/>
              </w:rPr>
              <w:t>23196,802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2F6C7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167006,576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в 2017 – на 2,2 %, в 2018 на 2,3 %, в 2019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2,4%, в2020 на 2,5%;в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детей, привлекаемых к участию в творческих мероприятиях в 2017 – на 7,3 %, в 2018 – на 7,4 %, в 2019 на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>в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измер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850"/>
        <w:gridCol w:w="992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D4585D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финанан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11674,150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 "Беркут", ДВППКО "Сапсан", Общ. орг. "Боевое Братство", Совет ветеранов,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Увеличение числа молодежи, участвующей в различных формах самоорганизация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Снижение численности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состоящих на учете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подростков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Комитет финансов,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15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7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1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136288,360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115214,660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21073,700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49858,109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2F6C78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6989,544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49858,109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МКУ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Обеспечение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6075,494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186146,469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27854,302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5559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23196,802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211671,723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2B2C96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31360,602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2"/>
    <w:rsid w:val="002118D0"/>
    <w:rsid w:val="002B2C96"/>
    <w:rsid w:val="002F6C78"/>
    <w:rsid w:val="00314001"/>
    <w:rsid w:val="00336F27"/>
    <w:rsid w:val="00370676"/>
    <w:rsid w:val="003C4EE2"/>
    <w:rsid w:val="00755598"/>
    <w:rsid w:val="0093702F"/>
    <w:rsid w:val="00D03850"/>
    <w:rsid w:val="00D4585D"/>
    <w:rsid w:val="00D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Nika Nika</cp:lastModifiedBy>
  <cp:revision>2</cp:revision>
  <cp:lastPrinted>2019-03-06T07:26:00Z</cp:lastPrinted>
  <dcterms:created xsi:type="dcterms:W3CDTF">2019-03-13T06:10:00Z</dcterms:created>
  <dcterms:modified xsi:type="dcterms:W3CDTF">2019-03-13T06:10:00Z</dcterms:modified>
</cp:coreProperties>
</file>