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 621-па</w:t>
      </w:r>
    </w:p>
    <w:p w:rsidR="006E730A" w:rsidRPr="006E730A" w:rsidRDefault="006E730A" w:rsidP="006E730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97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1195"/>
        <w:gridCol w:w="1701"/>
        <w:gridCol w:w="1701"/>
        <w:gridCol w:w="2348"/>
        <w:gridCol w:w="62"/>
      </w:tblGrid>
      <w:tr w:rsidR="006E730A" w:rsidRPr="006E730A" w:rsidTr="00001B6A">
        <w:trPr>
          <w:gridAfter w:val="1"/>
          <w:wAfter w:w="62" w:type="dxa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территории Никольского городского поселения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области»</w:t>
            </w:r>
          </w:p>
        </w:tc>
      </w:tr>
      <w:tr w:rsidR="006E730A" w:rsidRPr="006E730A" w:rsidTr="00001B6A">
        <w:trPr>
          <w:gridAfter w:val="1"/>
          <w:wAfter w:w="62" w:type="dxa"/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Никольского городского поселения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Никольского  городского  поселения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rHeight w:val="3613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приведение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санитарного и экологического состояния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работ по благоустройству, строительству и реконструкции систем наружного освещения  улиц;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изменение внешнего вида территорий  Никольского городского поселения </w:t>
            </w:r>
            <w:proofErr w:type="spellStart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сторону повышения эстетической привлекательности и приведения к стилистическому соответствию;</w:t>
            </w:r>
          </w:p>
        </w:tc>
      </w:tr>
      <w:tr w:rsidR="006E730A" w:rsidRPr="006E730A" w:rsidTr="00001B6A">
        <w:trPr>
          <w:gridAfter w:val="1"/>
          <w:wAfter w:w="62" w:type="dxa"/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 завершение очередного  этапа - конец финансового  года </w:t>
            </w:r>
          </w:p>
        </w:tc>
      </w:tr>
      <w:tr w:rsidR="006E730A" w:rsidRPr="006E730A" w:rsidTr="00001B6A">
        <w:trPr>
          <w:gridAfter w:val="1"/>
          <w:wAfter w:w="62" w:type="dxa"/>
          <w:trHeight w:val="249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- всего, в том числе по годам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2018-2022 годы, в том числе по годам (тыс. руб.):</w:t>
            </w:r>
          </w:p>
        </w:tc>
      </w:tr>
      <w:tr w:rsidR="006E730A" w:rsidRPr="006E730A" w:rsidTr="00001B6A">
        <w:trPr>
          <w:trHeight w:val="11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41 937,66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44 046,62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38 286,18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38 286,18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27 896,00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29 087,00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181 253,46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gridAfter w:val="1"/>
          <w:wAfter w:w="62" w:type="dxa"/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ежегодно уточняются в соответствии с нормативными правовыми актами </w:t>
            </w:r>
          </w:p>
        </w:tc>
      </w:tr>
      <w:tr w:rsidR="006E730A" w:rsidRPr="006E730A" w:rsidTr="00001B6A">
        <w:trPr>
          <w:gridAfter w:val="1"/>
          <w:wAfter w:w="62" w:type="dxa"/>
          <w:trHeight w:val="274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концу 2022 года: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территории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условий проживания населения;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площадей  благоустроенных газонов, пешеходных зон,  малых архитектурных форм,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содержания территорий памятных мест Никольского городского поселения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обустроенных детских игровых и спортивных площадок на территории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наружного уличного освещения территорий 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Характеристика проблем, на решение которых направлена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программа, и оценка сложившейся ситуации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людей в более комфортных условиях при постоянно растущем благосостоянии населения.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</w:t>
      </w:r>
      <w:proofErr w:type="spellStart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уровень благоустроенности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городских зеленых насаждений находится в запущенном состоянии, деревья очень старые, которые необходимо 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мероприятия по благоустройству необходимо осуществлять совместно с работами по приведению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ливневой канализации в нормативное состояние, решением вопросов недостаточности мест стоянок для личного автотранспорта 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и уличного освещения. Все эти вопросы должны решаться в комплексе, поэтому мероприятия программы неразрывно связаны с мероприятиями, осуществляемыми в рамках других целевых программ поселения.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Приоритеты, цели и задачи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социально-экономического уровня и качества жизни населения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в рамках реализации муниципальной  программы планируется осуществить целый комплекс следующих мероприятий: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благоустройство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 Никольского городского поселения </w:t>
      </w:r>
      <w:proofErr w:type="spellStart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обустроено 50 % от необходимого количества таких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санитарной очистке территорий поселения.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условий для безопасной, комфортной, эстетически привлекательной среды для проживания населения на территории 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 населения в играх и занятии спортом на открытом воздухе;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санитарного и экологического состояния  Никольского 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внешнего вида территорий  Никольского городского поселения  </w:t>
      </w:r>
      <w:proofErr w:type="spellStart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повышения эстетической привлекательности и приведения к стилистическому соответствию;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6E730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 программы</w:t>
      </w: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2022 года указаны в паспорте муниципальной программы:</w:t>
      </w: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2018 – 2022 годах, завершение очередного  этапа - конец финансового  года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5649789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</w:t>
      </w:r>
      <w:bookmarkEnd w:id="0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в составе муниципальной программы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решения задач программа включает следующие основные мероприятия: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Обеспечение благоустройства территории 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перечень мероприятий входят следующие виды работ: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пешеходных дорожек, площадей, улиц, проездов, муниципальных автодорог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улично-дорожной сети территорий индивидуальной жилой застройки;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детских и спортивных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зеленых насаждений (в том числе цветочное оформление и  удаление аварийных деревьев);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малых архитектурных форм;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памятных мест и кладбищ на территории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надлежащего санитарного состояния территорий, в том числе уборка мусора, вывоз несанкционированных свалок,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Раздел 5. Ресурсное (финансовое) обеспечение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составит   181 253,46 тыс. руб., в том числе: бюджет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–  181 253,46 тыс. руб.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финансирования мероприятий программы являются средства бюджета Никольского городского поселения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в разрезе основных мероприятий по годам представлен в плане основных мероприятий муниципальной программы.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ежегодно уточняются нормативными правовыми актами. </w:t>
      </w:r>
    </w:p>
    <w:p w:rsidR="00DB204F" w:rsidRDefault="00DB204F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04F" w:rsidSect="006E730A">
          <w:footerReference w:type="even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17" w:type="dxa"/>
        <w:tblInd w:w="-34" w:type="dxa"/>
        <w:tblLook w:val="04A0"/>
      </w:tblPr>
      <w:tblGrid>
        <w:gridCol w:w="500"/>
        <w:gridCol w:w="1500"/>
        <w:gridCol w:w="1950"/>
        <w:gridCol w:w="1310"/>
        <w:gridCol w:w="1276"/>
        <w:gridCol w:w="319"/>
        <w:gridCol w:w="1296"/>
        <w:gridCol w:w="1149"/>
        <w:gridCol w:w="1149"/>
        <w:gridCol w:w="1149"/>
        <w:gridCol w:w="1149"/>
        <w:gridCol w:w="1149"/>
        <w:gridCol w:w="456"/>
        <w:gridCol w:w="1143"/>
        <w:gridCol w:w="222"/>
      </w:tblGrid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Финансирование мероприятий муниципальной программы </w:t>
            </w:r>
          </w:p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"Благоустройство  территории </w:t>
            </w: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Никольского  городского поселения 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Ленинградской  области"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Финансирование по годам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143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содержанию и развитию объектов благоустройства территории по организации сбора, вывоза бытовых отходов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1.1Услуги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снабжению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электрической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энергии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1.2.Техничекое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16853,50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2885,50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 Установка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освещения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52666,19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9913,19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10359,00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11044,00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2.1. Ручная уборка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44730,220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12286,54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7191,68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территории НГП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Содержание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Ликвидация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19947,500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5472,50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несанкционирован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свалок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 Содержание,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11467,44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контейнерных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  Утилизация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отходов 1-4 класса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опасности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86986,120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21802,90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23756,54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15996,68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3.1. Скашивание и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12144,29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3470,66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3173,63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уборка травы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3.2. Приобретение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4496,60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1580,00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1216,60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цветов и деревьев 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уход за растениями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16640,89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4770,66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4390,23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4.1.Техническое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8958,44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2129,47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ливневой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дренажной 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ливневой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89548,44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2129,47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скамеек и урн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5.2. Благоустройство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малых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архитектур-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 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вазонов и полусфер,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4511,92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6.1.Внесение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очистки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изменений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генеральную схему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очистки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Опиловка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Опиловка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4955,72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деревьев.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насаждений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7.2.Формирование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живой изгороди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6375,72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1577,92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8.1.Борьба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 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 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 Технический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надзор, составление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 Ответственный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1055,41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электрохозяйство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11.2. Обучение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5114,18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1491,08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1402,00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санитарных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условий </w:t>
            </w:r>
            <w:proofErr w:type="gramStart"/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181253,46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41937,66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44046,62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38286,18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27896,00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29087,00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Непрограммые</w:t>
            </w:r>
            <w:proofErr w:type="spell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расходы 32,00 тыс</w:t>
            </w:r>
            <w:proofErr w:type="gram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.р</w:t>
            </w:r>
            <w:proofErr w:type="gram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уб. (</w:t>
            </w:r>
            <w:proofErr w:type="spell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софинансирование</w:t>
            </w:r>
            <w:proofErr w:type="spell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детского игрового оборудования Депутатские средства)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2E85" w:rsidRPr="00B25AE8" w:rsidRDefault="00D92E85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2E85" w:rsidRPr="00B25AE8" w:rsidSect="00DB204F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A5" w:rsidRDefault="004F76A5" w:rsidP="006D5E23">
      <w:pPr>
        <w:spacing w:after="0" w:line="240" w:lineRule="auto"/>
      </w:pPr>
      <w:r>
        <w:separator/>
      </w:r>
    </w:p>
  </w:endnote>
  <w:endnote w:type="continuationSeparator" w:id="0">
    <w:p w:rsidR="004F76A5" w:rsidRDefault="004F76A5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DA" w:rsidRDefault="00AD173D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3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3DA" w:rsidRDefault="00BD53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A5" w:rsidRDefault="004F76A5" w:rsidP="006D5E23">
      <w:pPr>
        <w:spacing w:after="0" w:line="240" w:lineRule="auto"/>
      </w:pPr>
      <w:r>
        <w:separator/>
      </w:r>
    </w:p>
  </w:footnote>
  <w:footnote w:type="continuationSeparator" w:id="0">
    <w:p w:rsidR="004F76A5" w:rsidRDefault="004F76A5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B42"/>
    <w:rsid w:val="00021B1D"/>
    <w:rsid w:val="00091501"/>
    <w:rsid w:val="000C3DEC"/>
    <w:rsid w:val="000C7C9F"/>
    <w:rsid w:val="00112CB4"/>
    <w:rsid w:val="00183B98"/>
    <w:rsid w:val="001870EE"/>
    <w:rsid w:val="001B5294"/>
    <w:rsid w:val="001E1CA6"/>
    <w:rsid w:val="001E3B9E"/>
    <w:rsid w:val="00251580"/>
    <w:rsid w:val="002544F0"/>
    <w:rsid w:val="002E73B5"/>
    <w:rsid w:val="00301E3D"/>
    <w:rsid w:val="003150FA"/>
    <w:rsid w:val="0031565A"/>
    <w:rsid w:val="00331F48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65610"/>
    <w:rsid w:val="00482E12"/>
    <w:rsid w:val="004D6CFE"/>
    <w:rsid w:val="004F22DC"/>
    <w:rsid w:val="004F76A5"/>
    <w:rsid w:val="004F787D"/>
    <w:rsid w:val="005068C4"/>
    <w:rsid w:val="00556FAB"/>
    <w:rsid w:val="00560A1E"/>
    <w:rsid w:val="00594FB1"/>
    <w:rsid w:val="005A27C0"/>
    <w:rsid w:val="005D504C"/>
    <w:rsid w:val="005E63B8"/>
    <w:rsid w:val="00601300"/>
    <w:rsid w:val="00616711"/>
    <w:rsid w:val="006253B4"/>
    <w:rsid w:val="00653F2B"/>
    <w:rsid w:val="00664884"/>
    <w:rsid w:val="006A7B58"/>
    <w:rsid w:val="006B14E6"/>
    <w:rsid w:val="006D5E23"/>
    <w:rsid w:val="006E730A"/>
    <w:rsid w:val="006F0040"/>
    <w:rsid w:val="00770D2A"/>
    <w:rsid w:val="007A37C5"/>
    <w:rsid w:val="007C7114"/>
    <w:rsid w:val="007E2075"/>
    <w:rsid w:val="0080594A"/>
    <w:rsid w:val="00820C91"/>
    <w:rsid w:val="008365C5"/>
    <w:rsid w:val="00856701"/>
    <w:rsid w:val="00876A2A"/>
    <w:rsid w:val="008816BE"/>
    <w:rsid w:val="00890E0C"/>
    <w:rsid w:val="008945CD"/>
    <w:rsid w:val="008B1B42"/>
    <w:rsid w:val="008B7C62"/>
    <w:rsid w:val="008F0972"/>
    <w:rsid w:val="00913586"/>
    <w:rsid w:val="00914D9C"/>
    <w:rsid w:val="00980F7F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90139"/>
    <w:rsid w:val="00AA3BA8"/>
    <w:rsid w:val="00AA4E71"/>
    <w:rsid w:val="00AA5AE5"/>
    <w:rsid w:val="00AA732E"/>
    <w:rsid w:val="00AD173D"/>
    <w:rsid w:val="00B23486"/>
    <w:rsid w:val="00B25AE8"/>
    <w:rsid w:val="00B45176"/>
    <w:rsid w:val="00B46A5E"/>
    <w:rsid w:val="00B61958"/>
    <w:rsid w:val="00B90BBF"/>
    <w:rsid w:val="00BB15E4"/>
    <w:rsid w:val="00BB2C20"/>
    <w:rsid w:val="00BD53DA"/>
    <w:rsid w:val="00BF2835"/>
    <w:rsid w:val="00C51CD2"/>
    <w:rsid w:val="00C81657"/>
    <w:rsid w:val="00C84178"/>
    <w:rsid w:val="00CD413A"/>
    <w:rsid w:val="00CD5A88"/>
    <w:rsid w:val="00D07928"/>
    <w:rsid w:val="00D56613"/>
    <w:rsid w:val="00D71DBD"/>
    <w:rsid w:val="00D80092"/>
    <w:rsid w:val="00D92E85"/>
    <w:rsid w:val="00DA250E"/>
    <w:rsid w:val="00DB204F"/>
    <w:rsid w:val="00DB7EEA"/>
    <w:rsid w:val="00DE068A"/>
    <w:rsid w:val="00E33F27"/>
    <w:rsid w:val="00E55F4F"/>
    <w:rsid w:val="00E73553"/>
    <w:rsid w:val="00E975CA"/>
    <w:rsid w:val="00EA013B"/>
    <w:rsid w:val="00EB12D5"/>
    <w:rsid w:val="00EC403F"/>
    <w:rsid w:val="00EC4572"/>
    <w:rsid w:val="00EC5978"/>
    <w:rsid w:val="00F61A48"/>
    <w:rsid w:val="00F63B03"/>
    <w:rsid w:val="00F85F12"/>
    <w:rsid w:val="00FD5D4C"/>
    <w:rsid w:val="00FE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D"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09E4-AA9D-4353-A646-A6E051CA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Раздел 1. Характеристика проблем, на решение которых направлена </vt:lpstr>
      <vt:lpstr>    муниципальная программа, и оценка сложившейся ситуации</vt:lpstr>
      <vt:lpstr>    Раздел 2. Приоритеты, цели и задачи муниципальной программы</vt:lpstr>
      <vt:lpstr>    Раздел 3. Ожидаемые результаты реализации  программы</vt:lpstr>
      <vt:lpstr>    </vt:lpstr>
      <vt:lpstr>    Раздел 4. Основные мероприятия в составе муниципальной программы</vt:lpstr>
    </vt:vector>
  </TitlesOfParts>
  <Company>ГО и ЧС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Windows User</cp:lastModifiedBy>
  <cp:revision>2</cp:revision>
  <cp:lastPrinted>2019-12-26T07:51:00Z</cp:lastPrinted>
  <dcterms:created xsi:type="dcterms:W3CDTF">2020-01-22T08:17:00Z</dcterms:created>
  <dcterms:modified xsi:type="dcterms:W3CDTF">2020-01-22T08:17:00Z</dcterms:modified>
</cp:coreProperties>
</file>